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422" w:rsidRPr="00832AD7" w:rsidRDefault="002453CF" w:rsidP="00832AD7">
      <w:pPr>
        <w:spacing w:after="0" w:line="240" w:lineRule="auto"/>
        <w:rPr>
          <w:rFonts w:cs="David"/>
          <w:b/>
          <w:bCs/>
          <w:sz w:val="16"/>
          <w:szCs w:val="16"/>
          <w:rtl/>
        </w:rPr>
      </w:pPr>
      <w:bookmarkStart w:id="0" w:name="_GoBack"/>
      <w:bookmarkEnd w:id="0"/>
      <w:r w:rsidRPr="006C3B1F">
        <w:rPr>
          <w:rFonts w:cs="David" w:hint="cs"/>
          <w:b/>
          <w:bCs/>
          <w:sz w:val="24"/>
          <w:szCs w:val="24"/>
          <w:rtl/>
        </w:rPr>
        <w:t xml:space="preserve">                                 </w:t>
      </w:r>
      <w:r w:rsidR="006B7B96" w:rsidRPr="006C3B1F">
        <w:rPr>
          <w:rFonts w:cs="David" w:hint="cs"/>
          <w:b/>
          <w:bCs/>
          <w:sz w:val="24"/>
          <w:szCs w:val="24"/>
          <w:rtl/>
        </w:rPr>
        <w:t xml:space="preserve">           </w:t>
      </w:r>
      <w:r w:rsidR="00631744">
        <w:rPr>
          <w:rFonts w:cs="David" w:hint="cs"/>
          <w:b/>
          <w:bCs/>
          <w:sz w:val="24"/>
          <w:szCs w:val="24"/>
          <w:rtl/>
        </w:rPr>
        <w:t xml:space="preserve">           </w:t>
      </w:r>
      <w:r w:rsidR="006C3B1F">
        <w:rPr>
          <w:rFonts w:cs="David" w:hint="cs"/>
          <w:b/>
          <w:bCs/>
          <w:sz w:val="24"/>
          <w:szCs w:val="24"/>
          <w:rtl/>
        </w:rPr>
        <w:t xml:space="preserve">   </w:t>
      </w:r>
      <w:r w:rsidRPr="006C3B1F">
        <w:rPr>
          <w:rFonts w:cs="David" w:hint="cs"/>
          <w:b/>
          <w:bCs/>
          <w:sz w:val="24"/>
          <w:szCs w:val="24"/>
          <w:rtl/>
        </w:rPr>
        <w:t xml:space="preserve">  </w:t>
      </w:r>
      <w:r w:rsidR="001D42A7">
        <w:rPr>
          <w:rFonts w:hint="cs"/>
          <w:b/>
          <w:bCs/>
          <w:rtl/>
        </w:rPr>
        <w:t xml:space="preserve">  </w:t>
      </w:r>
    </w:p>
    <w:p w:rsidR="00983123" w:rsidRPr="00832AD7" w:rsidRDefault="00983123" w:rsidP="00832AD7">
      <w:pPr>
        <w:spacing w:after="0" w:line="240" w:lineRule="auto"/>
        <w:jc w:val="right"/>
        <w:rPr>
          <w:rFonts w:ascii="Times New Roman" w:eastAsia="Times New Roman" w:hAnsi="Times New Roman" w:cs="David"/>
          <w:sz w:val="16"/>
          <w:szCs w:val="16"/>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30 בספטמבר 2024</w:t>
      </w:r>
      <w:r w:rsidRPr="00832AD7">
        <w:rPr>
          <w:rFonts w:ascii="Times New Roman" w:eastAsia="Times New Roman" w:hAnsi="Times New Roman" w:cs="David" w:hint="cs"/>
          <w:sz w:val="16"/>
          <w:szCs w:val="16"/>
          <w:rtl/>
        </w:rPr>
        <w:fldChar w:fldCharType="end"/>
      </w:r>
    </w:p>
    <w:p w:rsidR="00983123" w:rsidRPr="00832AD7" w:rsidRDefault="00983123" w:rsidP="00832AD7">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כ"ז באלול תשפ"ד</w:t>
      </w:r>
      <w:r w:rsidRPr="00832AD7">
        <w:rPr>
          <w:rFonts w:ascii="Times New Roman" w:eastAsia="Times New Roman" w:hAnsi="Times New Roman" w:cs="David" w:hint="cs"/>
          <w:sz w:val="16"/>
          <w:szCs w:val="16"/>
          <w:rtl/>
        </w:rPr>
        <w:fldChar w:fldCharType="end"/>
      </w:r>
    </w:p>
    <w:p w:rsidR="00983123" w:rsidRPr="00983123" w:rsidRDefault="00983123" w:rsidP="00832AD7">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4700-1039-2024-007304</w:t>
      </w:r>
      <w:r w:rsidRPr="00832AD7">
        <w:rPr>
          <w:rFonts w:ascii="Times New Roman" w:eastAsia="Times New Roman" w:hAnsi="Times New Roman" w:cs="David" w:hint="cs"/>
          <w:sz w:val="16"/>
          <w:szCs w:val="16"/>
          <w:rtl/>
        </w:rPr>
        <w:fldChar w:fldCharType="end"/>
      </w:r>
    </w:p>
    <w:p w:rsidR="00515986" w:rsidRPr="00515986" w:rsidRDefault="00515986" w:rsidP="000C4D75">
      <w:pPr>
        <w:tabs>
          <w:tab w:val="num" w:pos="1080"/>
        </w:tabs>
        <w:spacing w:after="0" w:line="276" w:lineRule="auto"/>
        <w:jc w:val="both"/>
        <w:rPr>
          <w:rFonts w:ascii="Arial" w:eastAsia="Times New Roman" w:hAnsi="Arial" w:cs="David"/>
          <w:b/>
          <w:bCs/>
          <w:sz w:val="24"/>
          <w:szCs w:val="24"/>
          <w:rtl/>
        </w:rPr>
      </w:pPr>
    </w:p>
    <w:p w:rsidR="00EB3C14" w:rsidRDefault="00EB3C14" w:rsidP="00EB3C14">
      <w:pPr>
        <w:pStyle w:val="Ruller4"/>
        <w:jc w:val="center"/>
        <w:rPr>
          <w:rFonts w:ascii="FrankRuehl" w:hAnsi="FrankRuehl"/>
          <w:b/>
          <w:bCs/>
          <w:color w:val="002060"/>
          <w:sz w:val="32"/>
          <w:szCs w:val="32"/>
          <w:u w:val="single"/>
          <w:rtl/>
        </w:rPr>
      </w:pPr>
    </w:p>
    <w:p w:rsidR="00EB3C14" w:rsidRPr="00E13984" w:rsidRDefault="00D1681E" w:rsidP="00EB3C14">
      <w:pPr>
        <w:pStyle w:val="Ruller4"/>
        <w:jc w:val="center"/>
        <w:rPr>
          <w:rFonts w:ascii="Century" w:hAnsi="Century"/>
          <w:b/>
          <w:bCs/>
          <w:u w:val="single"/>
          <w:rtl/>
        </w:rPr>
      </w:pPr>
      <w:r>
        <w:rPr>
          <w:rFonts w:ascii="Century" w:hAnsi="Century" w:hint="cs"/>
          <w:b/>
          <w:bCs/>
          <w:u w:val="single"/>
          <w:rtl/>
        </w:rPr>
        <w:t xml:space="preserve">תקציר פסק דין - </w:t>
      </w:r>
      <w:r w:rsidR="00EB3C14" w:rsidRPr="00E13984">
        <w:rPr>
          <w:rFonts w:ascii="Century" w:hAnsi="Century" w:hint="cs"/>
          <w:b/>
          <w:bCs/>
          <w:u w:val="single"/>
          <w:rtl/>
        </w:rPr>
        <w:t>בג"ץ 3</w:t>
      </w:r>
      <w:r w:rsidR="00EB3C14">
        <w:rPr>
          <w:rFonts w:ascii="Century" w:hAnsi="Century" w:hint="cs"/>
          <w:b/>
          <w:bCs/>
          <w:u w:val="single"/>
          <w:rtl/>
        </w:rPr>
        <w:t>289</w:t>
      </w:r>
      <w:r w:rsidR="00EB3C14" w:rsidRPr="00E13984">
        <w:rPr>
          <w:rFonts w:ascii="Century" w:hAnsi="Century" w:hint="cs"/>
          <w:b/>
          <w:bCs/>
          <w:u w:val="single"/>
          <w:rtl/>
        </w:rPr>
        <w:t>/2</w:t>
      </w:r>
      <w:r w:rsidR="00EB3C14">
        <w:rPr>
          <w:rFonts w:ascii="Century" w:hAnsi="Century" w:hint="cs"/>
          <w:b/>
          <w:bCs/>
          <w:u w:val="single"/>
          <w:rtl/>
        </w:rPr>
        <w:t>4</w:t>
      </w:r>
      <w:r w:rsidR="00EB3C14" w:rsidRPr="00E13984">
        <w:rPr>
          <w:rFonts w:ascii="Century" w:hAnsi="Century" w:hint="cs"/>
          <w:b/>
          <w:bCs/>
          <w:u w:val="single"/>
          <w:rtl/>
        </w:rPr>
        <w:t xml:space="preserve"> </w:t>
      </w:r>
      <w:r w:rsidR="00EB3C14">
        <w:rPr>
          <w:rFonts w:ascii="Century" w:hAnsi="Century" w:hint="cs"/>
          <w:b/>
          <w:bCs/>
          <w:u w:val="single"/>
          <w:rtl/>
        </w:rPr>
        <w:t>דקה נ' ממלא מקום נציב שירות בתי הסוהר</w:t>
      </w:r>
    </w:p>
    <w:p w:rsidR="00EB3C14" w:rsidRPr="00D1681E" w:rsidRDefault="00EB3C14" w:rsidP="00EB3C14">
      <w:pPr>
        <w:spacing w:line="240" w:lineRule="auto"/>
        <w:jc w:val="center"/>
        <w:rPr>
          <w:rFonts w:ascii="Century" w:eastAsia="Times New Roman" w:hAnsi="Century" w:cs="FrankRuehl"/>
          <w:b/>
          <w:bCs/>
          <w:spacing w:val="10"/>
          <w:sz w:val="26"/>
          <w:szCs w:val="26"/>
          <w:u w:val="single"/>
          <w:rtl/>
        </w:rPr>
      </w:pPr>
      <w:r w:rsidRPr="00D1681E">
        <w:rPr>
          <w:rFonts w:ascii="Century" w:eastAsia="Times New Roman" w:hAnsi="Century" w:cs="FrankRuehl" w:hint="cs"/>
          <w:b/>
          <w:bCs/>
          <w:spacing w:val="10"/>
          <w:sz w:val="26"/>
          <w:szCs w:val="26"/>
          <w:u w:val="single"/>
          <w:rtl/>
        </w:rPr>
        <w:t xml:space="preserve">השופטים אב"ד השופט יצחק עמית, השופט עופר </w:t>
      </w:r>
      <w:proofErr w:type="spellStart"/>
      <w:r w:rsidRPr="00D1681E">
        <w:rPr>
          <w:rFonts w:ascii="Century" w:eastAsia="Times New Roman" w:hAnsi="Century" w:cs="FrankRuehl" w:hint="cs"/>
          <w:b/>
          <w:bCs/>
          <w:spacing w:val="10"/>
          <w:sz w:val="26"/>
          <w:szCs w:val="26"/>
          <w:u w:val="single"/>
          <w:rtl/>
        </w:rPr>
        <w:t>גרוסקופף</w:t>
      </w:r>
      <w:proofErr w:type="spellEnd"/>
      <w:r w:rsidRPr="00D1681E">
        <w:rPr>
          <w:rFonts w:ascii="Century" w:eastAsia="Times New Roman" w:hAnsi="Century" w:cs="FrankRuehl" w:hint="cs"/>
          <w:b/>
          <w:bCs/>
          <w:spacing w:val="10"/>
          <w:sz w:val="26"/>
          <w:szCs w:val="26"/>
          <w:u w:val="single"/>
          <w:rtl/>
        </w:rPr>
        <w:t>, השופטת גילה כנפי-שטייניץ</w:t>
      </w:r>
    </w:p>
    <w:p w:rsidR="00EB3C14" w:rsidRDefault="00EB3C14" w:rsidP="00EB3C14">
      <w:pPr>
        <w:pStyle w:val="Ruller5"/>
        <w:rPr>
          <w:rtl/>
        </w:rPr>
      </w:pPr>
    </w:p>
    <w:p w:rsidR="00EB3C14" w:rsidRPr="00733E49" w:rsidRDefault="00EB3C14" w:rsidP="00EB3C14">
      <w:pPr>
        <w:pStyle w:val="Ruller4"/>
        <w:rPr>
          <w:b/>
          <w:bCs/>
          <w:rtl/>
        </w:rPr>
      </w:pPr>
      <w:r w:rsidRPr="006546E2">
        <w:rPr>
          <w:rFonts w:hint="cs"/>
          <w:b/>
          <w:bCs/>
          <w:rtl/>
        </w:rPr>
        <w:t xml:space="preserve">בית המשפט העליון </w:t>
      </w:r>
      <w:r>
        <w:rPr>
          <w:rFonts w:hint="cs"/>
          <w:b/>
          <w:bCs/>
          <w:rtl/>
        </w:rPr>
        <w:t xml:space="preserve">דחה פה אחד </w:t>
      </w:r>
      <w:r w:rsidRPr="006546E2">
        <w:rPr>
          <w:rFonts w:hint="cs"/>
          <w:b/>
          <w:bCs/>
          <w:rtl/>
        </w:rPr>
        <w:t>עתירה</w:t>
      </w:r>
      <w:r>
        <w:rPr>
          <w:rFonts w:hint="cs"/>
          <w:b/>
          <w:bCs/>
          <w:rtl/>
        </w:rPr>
        <w:t xml:space="preserve"> נגד החלטת שר הביטחון, שאושררה על ידי הקבינט המדיני-בטחוני, להחזיק בגופת המחבל וליד דקה לצרכי </w:t>
      </w:r>
      <w:proofErr w:type="spellStart"/>
      <w:r>
        <w:rPr>
          <w:rFonts w:hint="cs"/>
          <w:b/>
          <w:bCs/>
          <w:rtl/>
        </w:rPr>
        <w:t>שו"ן</w:t>
      </w:r>
      <w:proofErr w:type="spellEnd"/>
      <w:r>
        <w:rPr>
          <w:rFonts w:hint="cs"/>
          <w:b/>
          <w:bCs/>
          <w:rtl/>
        </w:rPr>
        <w:t xml:space="preserve"> (שבויים ונעדרים). נקבע כי החלטה זו לא חרגה ממתחמי הסבירות והמידתיות ומשכך לא קמה עילה להתערבותו של בית המשפט. </w:t>
      </w:r>
    </w:p>
    <w:p w:rsidR="00EB3C14" w:rsidRPr="00F30B1B" w:rsidRDefault="00EB3C14" w:rsidP="00EB3C14">
      <w:pPr>
        <w:pStyle w:val="Ruller4"/>
        <w:rPr>
          <w:sz w:val="18"/>
          <w:szCs w:val="24"/>
          <w:rtl/>
        </w:rPr>
      </w:pPr>
    </w:p>
    <w:p w:rsidR="00EB3C14" w:rsidRDefault="00EB3C14" w:rsidP="00EB3C14">
      <w:pPr>
        <w:pStyle w:val="Ruller4"/>
        <w:rPr>
          <w:rtl/>
        </w:rPr>
      </w:pPr>
      <w:r>
        <w:rPr>
          <w:rFonts w:hint="cs"/>
          <w:rtl/>
        </w:rPr>
        <w:t xml:space="preserve">המחבל וליד דקה הורשע בשנת 1987 כמי שהיה אחראי על חוליית מחבלים שחטפה ורצחה את החייל משה </w:t>
      </w:r>
      <w:proofErr w:type="spellStart"/>
      <w:r>
        <w:rPr>
          <w:rFonts w:hint="cs"/>
          <w:rtl/>
        </w:rPr>
        <w:t>תמם</w:t>
      </w:r>
      <w:proofErr w:type="spellEnd"/>
      <w:r>
        <w:rPr>
          <w:rFonts w:hint="cs"/>
          <w:rtl/>
        </w:rPr>
        <w:t xml:space="preserve"> ז"ל. דקה, אזרח ישראלי, נידון למאסר עולם, ובהמשך נקצב עונשו ל-37 שנות מאסר. בעודו מרצה את עונשו, הורשע דקה בעבירה ביטחונית נוספת של ניסיון להברחת טלפון לכלא, והוא נידון לשתי שנות מאסר נוספות. ביום 7.4.2024, בעודו במשמורת של שירות בתי הסוהר, מת דקה ממחלת הסרטן.</w:t>
      </w:r>
    </w:p>
    <w:p w:rsidR="00EB3C14" w:rsidRPr="00F30B1B" w:rsidRDefault="00EB3C14" w:rsidP="00EB3C14">
      <w:pPr>
        <w:pStyle w:val="Ruller5"/>
        <w:rPr>
          <w:sz w:val="18"/>
          <w:szCs w:val="24"/>
          <w:rtl/>
        </w:rPr>
      </w:pPr>
    </w:p>
    <w:p w:rsidR="00EB3C14" w:rsidRDefault="00EB3C14" w:rsidP="00EB3C14">
      <w:pPr>
        <w:pStyle w:val="Ruller4"/>
        <w:rPr>
          <w:rtl/>
        </w:rPr>
      </w:pPr>
      <w:r>
        <w:rPr>
          <w:rFonts w:hint="cs"/>
          <w:rtl/>
        </w:rPr>
        <w:t xml:space="preserve">פסק הדין נכתב על ידי השופט </w:t>
      </w:r>
      <w:r w:rsidRPr="006546E2">
        <w:rPr>
          <w:rFonts w:ascii="Century" w:hAnsi="Century" w:cs="Miriam" w:hint="cs"/>
          <w:b/>
          <w:spacing w:val="0"/>
          <w:szCs w:val="24"/>
          <w:rtl/>
        </w:rPr>
        <w:t>עמית</w:t>
      </w:r>
      <w:r>
        <w:rPr>
          <w:rFonts w:ascii="Century" w:hAnsi="Century" w:hint="cs"/>
          <w:rtl/>
        </w:rPr>
        <w:t xml:space="preserve">, בהסכמת השופט </w:t>
      </w:r>
      <w:proofErr w:type="spellStart"/>
      <w:r w:rsidRPr="00DB4A01">
        <w:rPr>
          <w:rFonts w:ascii="Century" w:hAnsi="Century" w:cs="Miriam" w:hint="cs"/>
          <w:b/>
          <w:spacing w:val="0"/>
          <w:szCs w:val="24"/>
          <w:rtl/>
        </w:rPr>
        <w:t>גרוסקופף</w:t>
      </w:r>
      <w:proofErr w:type="spellEnd"/>
      <w:r>
        <w:rPr>
          <w:rFonts w:ascii="Century" w:hAnsi="Century" w:hint="cs"/>
          <w:rtl/>
        </w:rPr>
        <w:t xml:space="preserve"> </w:t>
      </w:r>
      <w:r w:rsidRPr="008C5A30">
        <w:rPr>
          <w:rFonts w:ascii="Century" w:hAnsi="Century" w:hint="cs"/>
          <w:rtl/>
        </w:rPr>
        <w:t>והשופטת</w:t>
      </w:r>
      <w:r>
        <w:rPr>
          <w:rFonts w:ascii="Century" w:hAnsi="Century" w:cs="Miriam" w:hint="cs"/>
          <w:b/>
          <w:spacing w:val="0"/>
          <w:szCs w:val="24"/>
          <w:rtl/>
        </w:rPr>
        <w:t xml:space="preserve"> </w:t>
      </w:r>
      <w:r w:rsidRPr="00DB4A01">
        <w:rPr>
          <w:rFonts w:ascii="Century" w:hAnsi="Century" w:cs="Miriam" w:hint="cs"/>
          <w:b/>
          <w:spacing w:val="0"/>
          <w:szCs w:val="24"/>
          <w:rtl/>
        </w:rPr>
        <w:t>כנפי</w:t>
      </w:r>
      <w:r>
        <w:rPr>
          <w:rFonts w:ascii="Century" w:hAnsi="Century" w:cs="Miriam" w:hint="cs"/>
          <w:b/>
          <w:spacing w:val="0"/>
          <w:szCs w:val="24"/>
          <w:rtl/>
        </w:rPr>
        <w:t>-</w:t>
      </w:r>
      <w:r w:rsidRPr="00DB4A01">
        <w:rPr>
          <w:rFonts w:ascii="Century" w:hAnsi="Century" w:cs="Miriam" w:hint="cs"/>
          <w:b/>
          <w:spacing w:val="0"/>
          <w:szCs w:val="24"/>
          <w:rtl/>
        </w:rPr>
        <w:t>שטייניץ</w:t>
      </w:r>
      <w:r>
        <w:rPr>
          <w:rFonts w:ascii="Century" w:hAnsi="Century" w:hint="cs"/>
          <w:rtl/>
        </w:rPr>
        <w:t xml:space="preserve">. בית המשפט עמד על כך שאל מול הערך של כבוד המת והזכות של קרוביו להביאו לקבורה ראויה, ניצבת התכלית של פדיון שבויים, שנגזרת מערכי היסוד של המדינה, ואף קיבלה ביטוי בהוראותיו של חוק יסוד: ישראל </w:t>
      </w:r>
      <w:r>
        <w:rPr>
          <w:rFonts w:ascii="Century" w:hAnsi="Century"/>
          <w:rtl/>
        </w:rPr>
        <w:t>–</w:t>
      </w:r>
      <w:r>
        <w:rPr>
          <w:rFonts w:ascii="Century" w:hAnsi="Century" w:hint="cs"/>
          <w:rtl/>
        </w:rPr>
        <w:t xml:space="preserve"> מדינת הלאום של העם היהודי.</w:t>
      </w:r>
    </w:p>
    <w:p w:rsidR="00EB3C14" w:rsidRPr="00F30B1B" w:rsidRDefault="00EB3C14" w:rsidP="00EB3C14">
      <w:pPr>
        <w:pStyle w:val="Ruller5"/>
        <w:rPr>
          <w:sz w:val="18"/>
          <w:szCs w:val="24"/>
          <w:rtl/>
        </w:rPr>
      </w:pPr>
    </w:p>
    <w:p w:rsidR="002453CF" w:rsidRPr="007B7899" w:rsidRDefault="00EB3C14" w:rsidP="00EB3C14">
      <w:pPr>
        <w:pStyle w:val="Ruller4"/>
        <w:rPr>
          <w:rFonts w:ascii="Times New Roman" w:hAnsi="Times New Roman" w:cs="David"/>
          <w:b/>
          <w:bCs/>
          <w:color w:val="002060"/>
          <w:rtl/>
        </w:rPr>
      </w:pPr>
      <w:r>
        <w:rPr>
          <w:rFonts w:hint="cs"/>
          <w:rtl/>
        </w:rPr>
        <w:t xml:space="preserve">בית המשפט ציין כי אמנם מדובר במקרה תקדימי, במובן זה שהוחלט להחזיק בגופת מחבל שהוא אזרח ישראלי. בד בבד, הוסבר כי </w:t>
      </w:r>
      <w:r>
        <w:rPr>
          <w:rFonts w:ascii="Century" w:hAnsi="Century" w:hint="cs"/>
          <w:rtl/>
        </w:rPr>
        <w:t xml:space="preserve">בידי המפקד הצבאי נתונה סמכות להורות על החזקת גופות מחבלים לצרכי משא ומתן, לרבות גופות של מחבלים שהם אזרחי ישראל. עוד הודגש כי </w:t>
      </w:r>
      <w:r>
        <w:rPr>
          <w:rFonts w:hint="cs"/>
          <w:rtl/>
        </w:rPr>
        <w:t xml:space="preserve">יש </w:t>
      </w:r>
      <w:proofErr w:type="spellStart"/>
      <w:r>
        <w:rPr>
          <w:rFonts w:hint="cs"/>
          <w:rtl/>
        </w:rPr>
        <w:t>ליתן</w:t>
      </w:r>
      <w:proofErr w:type="spellEnd"/>
      <w:r>
        <w:rPr>
          <w:rFonts w:hint="cs"/>
          <w:rtl/>
        </w:rPr>
        <w:t xml:space="preserve"> משקל ממשי למציאות </w:t>
      </w:r>
      <w:proofErr w:type="spellStart"/>
      <w:r>
        <w:rPr>
          <w:rFonts w:hint="cs"/>
          <w:rtl/>
        </w:rPr>
        <w:t>השו"ן</w:t>
      </w:r>
      <w:proofErr w:type="spellEnd"/>
      <w:r>
        <w:rPr>
          <w:rFonts w:hint="cs"/>
          <w:rtl/>
        </w:rPr>
        <w:t xml:space="preserve"> שהשתנתה, לדאבון הלב, בעקבות האסון הנורא שהתרגש על מדינת ישראל בשבעה באוקטובר. בית המשפט הוסיף כי דקה "אומץ" כסמל על ידי ארגון הטרור חמאס, שמבקש לייצר מול מדינת ישראל משוואה של "גופות תמורת גופות". בנסיבות אלו, ולנוכח הערכת הגורם המקצועי כי החזקת הגופה עשויה לקדם את התכלית של משא ומתן להשבת גופות חללי צה"ל ואזרחי ישראל, נקבע כי מדובר בהחלטה סבירה ומידתית שאין מקום להתערב בה.</w:t>
      </w:r>
    </w:p>
    <w:sectPr w:rsidR="002453CF" w:rsidRPr="007B7899"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996" w:rsidRDefault="009B2996" w:rsidP="00730CA1">
      <w:pPr>
        <w:spacing w:after="0" w:line="240" w:lineRule="auto"/>
      </w:pPr>
      <w:r>
        <w:separator/>
      </w:r>
    </w:p>
  </w:endnote>
  <w:endnote w:type="continuationSeparator" w:id="0">
    <w:p w:rsidR="009B2996" w:rsidRDefault="009B2996"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39C" w:rsidRPr="003A639C" w:rsidRDefault="003A639C" w:rsidP="003A639C">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b/>
        <w:bCs/>
        <w:color w:val="000080"/>
        <w:spacing w:val="6"/>
        <w:sz w:val="24"/>
        <w:szCs w:val="24"/>
        <w:rtl/>
      </w:rPr>
      <w:t>________________________________________________________________</w:t>
    </w:r>
  </w:p>
  <w:p w:rsidR="003A639C"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בית משפט העליון | דרך השופט מאיר שמגר 1 | </w:t>
    </w:r>
    <w:proofErr w:type="spellStart"/>
    <w:r w:rsidRPr="003A639C">
      <w:rPr>
        <w:rFonts w:ascii="Times New Roman" w:eastAsia="Times New Roman" w:hAnsi="Times New Roman" w:cs="FrankRuehl" w:hint="cs"/>
        <w:b/>
        <w:bCs/>
        <w:color w:val="000080"/>
        <w:spacing w:val="6"/>
        <w:sz w:val="24"/>
        <w:szCs w:val="24"/>
        <w:rtl/>
      </w:rPr>
      <w:t>קרית</w:t>
    </w:r>
    <w:proofErr w:type="spellEnd"/>
    <w:r w:rsidRPr="003A639C">
      <w:rPr>
        <w:rFonts w:ascii="Times New Roman" w:eastAsia="Times New Roman" w:hAnsi="Times New Roman" w:cs="FrankRuehl" w:hint="cs"/>
        <w:b/>
        <w:bCs/>
        <w:color w:val="000080"/>
        <w:spacing w:val="6"/>
        <w:sz w:val="24"/>
        <w:szCs w:val="24"/>
        <w:rtl/>
      </w:rPr>
      <w:t xml:space="preserve"> בן גוריון | ירושלים</w:t>
    </w:r>
  </w:p>
  <w:p w:rsidR="003C61AF"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טל: </w:t>
    </w:r>
    <w:r w:rsidRPr="003A639C">
      <w:rPr>
        <w:rFonts w:ascii="Times New Roman" w:eastAsia="Times New Roman" w:hAnsi="Times New Roman" w:cs="FrankRuehl"/>
        <w:b/>
        <w:bCs/>
        <w:color w:val="000080"/>
        <w:spacing w:val="6"/>
        <w:sz w:val="24"/>
        <w:szCs w:val="24"/>
      </w:rPr>
      <w:t>074-7480412</w:t>
    </w:r>
    <w:r w:rsidRPr="003A639C">
      <w:rPr>
        <w:rFonts w:ascii="Times New Roman" w:eastAsia="Times New Roman" w:hAnsi="Times New Roman" w:cs="FrankRuehl" w:hint="cs"/>
        <w:b/>
        <w:bCs/>
        <w:color w:val="000080"/>
        <w:spacing w:val="6"/>
        <w:sz w:val="24"/>
        <w:szCs w:val="24"/>
        <w:rtl/>
      </w:rPr>
      <w:t xml:space="preserve">                       דוא"ל</w:t>
    </w:r>
    <w:r w:rsidRPr="003A639C">
      <w:rPr>
        <w:rFonts w:ascii="Times New Roman" w:eastAsia="Times New Roman" w:hAnsi="Times New Roman" w:cs="FrankRuehl"/>
        <w:b/>
        <w:bCs/>
        <w:color w:val="000080"/>
        <w:spacing w:val="6"/>
        <w:sz w:val="24"/>
        <w:szCs w:val="24"/>
      </w:rPr>
      <w:t>:</w:t>
    </w:r>
    <w:r w:rsidRPr="003A639C">
      <w:rPr>
        <w:rFonts w:ascii="Times New Roman" w:eastAsia="Times New Roman" w:hAnsi="Times New Roman" w:cs="FrankRuehl" w:hint="cs"/>
        <w:b/>
        <w:bCs/>
        <w:color w:val="000080"/>
        <w:spacing w:val="6"/>
        <w:sz w:val="24"/>
        <w:szCs w:val="24"/>
        <w:rtl/>
      </w:rPr>
      <w:t xml:space="preserve">  </w:t>
    </w:r>
    <w:hyperlink r:id="rId1" w:history="1">
      <w:r w:rsidRPr="003A639C">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996" w:rsidRDefault="009B2996" w:rsidP="00730CA1">
      <w:pPr>
        <w:spacing w:after="0" w:line="240" w:lineRule="auto"/>
      </w:pPr>
      <w:r>
        <w:separator/>
      </w:r>
    </w:p>
  </w:footnote>
  <w:footnote w:type="continuationSeparator" w:id="0">
    <w:p w:rsidR="009B2996" w:rsidRDefault="009B2996"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907C8"/>
    <w:rsid w:val="000C4D75"/>
    <w:rsid w:val="001D42A7"/>
    <w:rsid w:val="002019BD"/>
    <w:rsid w:val="002453CF"/>
    <w:rsid w:val="002C0E83"/>
    <w:rsid w:val="00334F84"/>
    <w:rsid w:val="003921C3"/>
    <w:rsid w:val="003A639C"/>
    <w:rsid w:val="003C61AF"/>
    <w:rsid w:val="003E6E39"/>
    <w:rsid w:val="003E7EB7"/>
    <w:rsid w:val="00426AA7"/>
    <w:rsid w:val="00515986"/>
    <w:rsid w:val="005253B2"/>
    <w:rsid w:val="00541C9E"/>
    <w:rsid w:val="00631744"/>
    <w:rsid w:val="00690B6F"/>
    <w:rsid w:val="006B7B96"/>
    <w:rsid w:val="006C3B1F"/>
    <w:rsid w:val="006F1E1F"/>
    <w:rsid w:val="007007D7"/>
    <w:rsid w:val="00711675"/>
    <w:rsid w:val="00730CA1"/>
    <w:rsid w:val="007B7899"/>
    <w:rsid w:val="00832AD7"/>
    <w:rsid w:val="008C02E0"/>
    <w:rsid w:val="00983123"/>
    <w:rsid w:val="009B2996"/>
    <w:rsid w:val="009E5C0E"/>
    <w:rsid w:val="00AD7644"/>
    <w:rsid w:val="00B16422"/>
    <w:rsid w:val="00B22AFC"/>
    <w:rsid w:val="00BA3143"/>
    <w:rsid w:val="00BC2D53"/>
    <w:rsid w:val="00C22E08"/>
    <w:rsid w:val="00C37F37"/>
    <w:rsid w:val="00C50C55"/>
    <w:rsid w:val="00C529CC"/>
    <w:rsid w:val="00C842A7"/>
    <w:rsid w:val="00C85A27"/>
    <w:rsid w:val="00CA2D6A"/>
    <w:rsid w:val="00CB4940"/>
    <w:rsid w:val="00CD280B"/>
    <w:rsid w:val="00D11F77"/>
    <w:rsid w:val="00D1681E"/>
    <w:rsid w:val="00D205AB"/>
    <w:rsid w:val="00D43C0E"/>
    <w:rsid w:val="00D5319F"/>
    <w:rsid w:val="00E35DF3"/>
    <w:rsid w:val="00EA6DF3"/>
    <w:rsid w:val="00EB3C14"/>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 w:type="paragraph" w:customStyle="1" w:styleId="Ruller4">
    <w:name w:val="Ruller4"/>
    <w:basedOn w:val="a"/>
    <w:rsid w:val="00EB3C14"/>
    <w:pPr>
      <w:tabs>
        <w:tab w:val="left" w:pos="800"/>
      </w:tabs>
      <w:overflowPunct w:val="0"/>
      <w:autoSpaceDE w:val="0"/>
      <w:autoSpaceDN w:val="0"/>
      <w:adjustRightInd w:val="0"/>
      <w:spacing w:after="0" w:line="360" w:lineRule="auto"/>
      <w:jc w:val="both"/>
      <w:textAlignment w:val="baseline"/>
    </w:pPr>
    <w:rPr>
      <w:rFonts w:ascii="Arial TUR" w:eastAsia="Times New Roman" w:hAnsi="Arial TUR" w:cs="FrankRuehl"/>
      <w:spacing w:val="10"/>
      <w:szCs w:val="28"/>
    </w:rPr>
  </w:style>
  <w:style w:type="paragraph" w:customStyle="1" w:styleId="Ruller5">
    <w:name w:val="Ruller5"/>
    <w:basedOn w:val="a"/>
    <w:rsid w:val="00EB3C14"/>
    <w:pPr>
      <w:overflowPunct w:val="0"/>
      <w:autoSpaceDE w:val="0"/>
      <w:autoSpaceDN w:val="0"/>
      <w:adjustRightInd w:val="0"/>
      <w:spacing w:after="0" w:line="240" w:lineRule="auto"/>
      <w:ind w:left="1644" w:right="1276"/>
      <w:jc w:val="both"/>
      <w:textAlignment w:val="baseline"/>
    </w:pPr>
    <w:rPr>
      <w:rFonts w:ascii="Arial TUR" w:eastAsia="Times New Roman" w:hAnsi="Arial TUR" w:cs="FrankRuehl"/>
      <w:spacing w:val="1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F1917B69-8BA6-4285-BACD-A774F62ABE82}">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338</Words>
  <Characters>1694</Characters>
  <Application>Microsoft Office Word</Application>
  <DocSecurity>0</DocSecurity>
  <Lines>14</Lines>
  <Paragraphs>4</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אסתר טטרואשילי</cp:lastModifiedBy>
  <cp:revision>2</cp:revision>
  <cp:lastPrinted>2017-11-13T12:38:00Z</cp:lastPrinted>
  <dcterms:created xsi:type="dcterms:W3CDTF">2024-10-01T04:59:00Z</dcterms:created>
  <dcterms:modified xsi:type="dcterms:W3CDTF">2024-10-01T04:59:00Z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30 בספטמבר 2024</vt:lpwstr>
  </property>
  <property fmtid="{D5CDD505-2E9C-101B-9397-08002B2CF9AE}" pid="3" name="DocDateHeb">
    <vt:lpwstr>כ"ז באלול תשפ"ד</vt:lpwstr>
  </property>
  <property fmtid="{D5CDD505-2E9C-101B-9397-08002B2CF9AE}" pid="4" name="DocNumber">
    <vt:lpwstr>4700-1039-2024-007304</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וליד דקה</vt:lpwstr>
  </property>
</Properties>
</file>